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AC3" w:rsidRDefault="008B5748">
      <w:pP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附件1：北大金秋介绍</w:t>
      </w:r>
    </w:p>
    <w:p w:rsidR="00C31AC3" w:rsidRDefault="00C31AC3">
      <w:pPr>
        <w:rPr>
          <w:rFonts w:ascii="仿宋_GB2312" w:eastAsia="仿宋_GB2312" w:hAnsi="仿宋_GB2312" w:cs="仿宋_GB2312"/>
          <w:b/>
          <w:bCs/>
          <w:sz w:val="32"/>
          <w:szCs w:val="32"/>
        </w:rPr>
      </w:pPr>
    </w:p>
    <w:p w:rsidR="00C31AC3" w:rsidRPr="00724436" w:rsidRDefault="008B5748">
      <w:pPr>
        <w:ind w:firstLineChars="200" w:firstLine="640"/>
        <w:rPr>
          <w:rFonts w:ascii="仿宋_GB2312" w:eastAsia="仿宋_GB2312" w:hAnsi="Times New Roman" w:cs="Times New Roman"/>
          <w:sz w:val="32"/>
          <w:szCs w:val="32"/>
        </w:rPr>
      </w:pPr>
      <w:r w:rsidRPr="00724436">
        <w:rPr>
          <w:rFonts w:ascii="仿宋_GB2312" w:eastAsia="仿宋_GB2312" w:hAnsi="Times New Roman" w:cs="Times New Roman" w:hint="eastAsia"/>
          <w:sz w:val="32"/>
          <w:szCs w:val="32"/>
        </w:rPr>
        <w:t>北京北大金秋新技术有限公司（简称北大金秋）成立于1993年，是</w:t>
      </w:r>
      <w:r w:rsidRPr="00724436">
        <w:rPr>
          <w:rFonts w:ascii="仿宋_GB2312" w:eastAsia="仿宋_GB2312" w:hAnsi="Times New Roman" w:cs="Times New Roman" w:hint="eastAsia"/>
          <w:sz w:val="32"/>
          <w:szCs w:val="32"/>
          <w:lang w:eastAsia="zh-Hans"/>
        </w:rPr>
        <w:t>北京大学直</w:t>
      </w:r>
      <w:r w:rsidRPr="00724436">
        <w:rPr>
          <w:rFonts w:ascii="仿宋_GB2312" w:eastAsia="仿宋_GB2312" w:hAnsi="Times New Roman" w:cs="Times New Roman" w:hint="eastAsia"/>
          <w:sz w:val="32"/>
          <w:szCs w:val="32"/>
        </w:rPr>
        <w:t>属一级校企</w:t>
      </w:r>
      <w:r w:rsidRPr="00724436">
        <w:rPr>
          <w:rFonts w:ascii="仿宋_GB2312" w:eastAsia="仿宋_GB2312" w:hAnsi="Times New Roman" w:cs="Times New Roman" w:hint="eastAsia"/>
          <w:sz w:val="32"/>
          <w:szCs w:val="32"/>
          <w:lang w:eastAsia="zh-Hans"/>
        </w:rPr>
        <w:t>，</w:t>
      </w:r>
      <w:r w:rsidRPr="00724436">
        <w:rPr>
          <w:rFonts w:ascii="仿宋_GB2312" w:eastAsia="仿宋_GB2312" w:hAnsi="Times New Roman" w:cs="Times New Roman" w:hint="eastAsia"/>
          <w:sz w:val="32"/>
          <w:szCs w:val="32"/>
        </w:rPr>
        <w:t>始终以大学服务社会和产业报国为使命。</w:t>
      </w:r>
      <w:r w:rsidRPr="00724436">
        <w:rPr>
          <w:rFonts w:ascii="仿宋_GB2312" w:eastAsia="仿宋_GB2312" w:hAnsi="Times New Roman" w:cs="Times New Roman" w:hint="eastAsia"/>
          <w:sz w:val="32"/>
          <w:szCs w:val="32"/>
          <w:lang w:eastAsia="zh-Hans"/>
        </w:rPr>
        <w:t>北大金秋</w:t>
      </w:r>
      <w:r w:rsidRPr="00724436">
        <w:rPr>
          <w:rFonts w:ascii="仿宋_GB2312" w:eastAsia="仿宋_GB2312" w:hAnsi="Times New Roman" w:cs="Times New Roman" w:hint="eastAsia"/>
          <w:sz w:val="32"/>
          <w:szCs w:val="32"/>
        </w:rPr>
        <w:t>大力发展</w:t>
      </w:r>
      <w:r w:rsidRPr="00724436">
        <w:rPr>
          <w:rFonts w:ascii="仿宋_GB2312" w:eastAsia="仿宋_GB2312" w:hAnsi="Times New Roman" w:cs="Times New Roman" w:hint="eastAsia"/>
          <w:sz w:val="32"/>
          <w:szCs w:val="32"/>
          <w:lang w:eastAsia="zh-Hans"/>
        </w:rPr>
        <w:t>教育事业和公益性</w:t>
      </w:r>
      <w:r w:rsidRPr="00724436">
        <w:rPr>
          <w:rFonts w:ascii="仿宋_GB2312" w:eastAsia="仿宋_GB2312" w:hAnsi="Times New Roman" w:cs="Times New Roman" w:hint="eastAsia"/>
          <w:sz w:val="32"/>
          <w:szCs w:val="32"/>
        </w:rPr>
        <w:t>教育产业，</w:t>
      </w:r>
      <w:r w:rsidRPr="00724436">
        <w:rPr>
          <w:rFonts w:ascii="仿宋_GB2312" w:eastAsia="仿宋_GB2312" w:hAnsi="Times New Roman" w:cs="Times New Roman" w:hint="eastAsia"/>
          <w:sz w:val="32"/>
          <w:szCs w:val="32"/>
          <w:lang w:eastAsia="zh-Hans"/>
        </w:rPr>
        <w:t>致力于成为北京大学优质教育资源辐射支持基础教育发展的排头兵</w:t>
      </w:r>
      <w:r w:rsidRPr="00724436">
        <w:rPr>
          <w:rFonts w:ascii="仿宋_GB2312" w:eastAsia="仿宋_GB2312" w:hAnsi="Times New Roman" w:cs="Times New Roman" w:hint="eastAsia"/>
          <w:sz w:val="32"/>
          <w:szCs w:val="32"/>
        </w:rPr>
        <w:t>，全面助力我国教育事业蓬勃发展。</w:t>
      </w:r>
    </w:p>
    <w:p w:rsidR="00C31AC3" w:rsidRPr="00724436" w:rsidRDefault="008B5748">
      <w:pPr>
        <w:ind w:firstLineChars="200" w:firstLine="640"/>
        <w:rPr>
          <w:rFonts w:ascii="仿宋_GB2312" w:eastAsia="仿宋_GB2312" w:hAnsi="仿宋_GB2312" w:cs="仿宋_GB2312"/>
          <w:sz w:val="32"/>
          <w:szCs w:val="32"/>
        </w:rPr>
      </w:pPr>
      <w:r w:rsidRPr="00724436">
        <w:rPr>
          <w:rFonts w:ascii="仿宋_GB2312" w:eastAsia="仿宋_GB2312" w:hAnsi="仿宋_GB2312" w:cs="仿宋_GB2312" w:hint="eastAsia"/>
          <w:sz w:val="32"/>
          <w:szCs w:val="32"/>
        </w:rPr>
        <w:t>2</w:t>
      </w:r>
      <w:r w:rsidRPr="00724436">
        <w:rPr>
          <w:rFonts w:ascii="仿宋_GB2312" w:eastAsia="仿宋_GB2312" w:hAnsi="仿宋_GB2312" w:cs="仿宋_GB2312"/>
          <w:sz w:val="32"/>
          <w:szCs w:val="32"/>
        </w:rPr>
        <w:t>020</w:t>
      </w:r>
      <w:r w:rsidRPr="00724436">
        <w:rPr>
          <w:rFonts w:ascii="仿宋_GB2312" w:eastAsia="仿宋_GB2312" w:hAnsi="仿宋_GB2312" w:cs="仿宋_GB2312" w:hint="eastAsia"/>
          <w:sz w:val="32"/>
          <w:szCs w:val="32"/>
        </w:rPr>
        <w:t>年5月，</w:t>
      </w:r>
      <w:r w:rsidRPr="00724436">
        <w:rPr>
          <w:rFonts w:ascii="仿宋_GB2312" w:eastAsia="仿宋_GB2312" w:hAnsi="仿宋_GB2312" w:cs="仿宋_GB2312" w:hint="eastAsia"/>
          <w:sz w:val="32"/>
          <w:szCs w:val="32"/>
          <w:lang w:eastAsia="zh-Hans"/>
        </w:rPr>
        <w:t>北大金秋</w:t>
      </w:r>
      <w:r w:rsidRPr="00724436">
        <w:rPr>
          <w:rFonts w:ascii="仿宋_GB2312" w:eastAsia="仿宋_GB2312" w:hAnsi="仿宋_GB2312" w:cs="仿宋_GB2312" w:hint="eastAsia"/>
          <w:sz w:val="32"/>
          <w:szCs w:val="32"/>
        </w:rPr>
        <w:t>举办的“强基计划高中教师在线培训会”</w:t>
      </w:r>
      <w:r w:rsidRPr="00724436">
        <w:rPr>
          <w:rFonts w:ascii="仿宋_GB2312" w:eastAsia="仿宋_GB2312" w:hAnsi="仿宋_GB2312" w:cs="仿宋_GB2312" w:hint="eastAsia"/>
          <w:sz w:val="32"/>
          <w:szCs w:val="32"/>
          <w:lang w:eastAsia="zh-Hans"/>
        </w:rPr>
        <w:t>和</w:t>
      </w:r>
      <w:r w:rsidRPr="00724436">
        <w:rPr>
          <w:rFonts w:ascii="仿宋_GB2312" w:eastAsia="仿宋_GB2312" w:hAnsi="仿宋_GB2312" w:cs="仿宋_GB2312" w:hint="eastAsia"/>
          <w:sz w:val="32"/>
          <w:szCs w:val="32"/>
        </w:rPr>
        <w:t>“强基计划考试方案与报考策略学生指导公开课”，</w:t>
      </w:r>
      <w:r w:rsidRPr="00724436">
        <w:rPr>
          <w:rFonts w:ascii="仿宋_GB2312" w:eastAsia="仿宋_GB2312" w:hAnsi="仿宋_GB2312" w:cs="仿宋_GB2312" w:hint="eastAsia"/>
          <w:sz w:val="32"/>
          <w:szCs w:val="32"/>
          <w:lang w:eastAsia="zh-Hans"/>
        </w:rPr>
        <w:t>覆盖</w:t>
      </w:r>
      <w:r w:rsidRPr="00724436">
        <w:rPr>
          <w:rFonts w:ascii="仿宋_GB2312" w:eastAsia="仿宋_GB2312" w:hAnsi="仿宋_GB2312" w:cs="仿宋_GB2312" w:hint="eastAsia"/>
          <w:sz w:val="32"/>
          <w:szCs w:val="32"/>
        </w:rPr>
        <w:t>1</w:t>
      </w:r>
      <w:r w:rsidRPr="00724436">
        <w:rPr>
          <w:rFonts w:ascii="仿宋_GB2312" w:eastAsia="仿宋_GB2312" w:hAnsi="仿宋_GB2312" w:cs="仿宋_GB2312"/>
          <w:sz w:val="32"/>
          <w:szCs w:val="32"/>
        </w:rPr>
        <w:t>20</w:t>
      </w:r>
      <w:r w:rsidRPr="00724436">
        <w:rPr>
          <w:rFonts w:ascii="仿宋_GB2312" w:eastAsia="仿宋_GB2312" w:hAnsi="仿宋_GB2312" w:cs="仿宋_GB2312" w:hint="eastAsia"/>
          <w:sz w:val="32"/>
          <w:szCs w:val="32"/>
        </w:rPr>
        <w:t>所高中学校</w:t>
      </w:r>
      <w:r w:rsidRPr="00724436">
        <w:rPr>
          <w:rFonts w:ascii="仿宋_GB2312" w:eastAsia="仿宋_GB2312" w:hAnsi="仿宋_GB2312" w:cs="仿宋_GB2312" w:hint="eastAsia"/>
          <w:sz w:val="32"/>
          <w:szCs w:val="32"/>
          <w:lang w:eastAsia="zh-Hans"/>
        </w:rPr>
        <w:t>，超过</w:t>
      </w:r>
      <w:r w:rsidRPr="00724436">
        <w:rPr>
          <w:rFonts w:ascii="仿宋_GB2312" w:eastAsia="仿宋_GB2312" w:hAnsi="仿宋_GB2312" w:cs="仿宋_GB2312"/>
          <w:sz w:val="32"/>
          <w:szCs w:val="32"/>
          <w:lang w:eastAsia="zh-Hans"/>
        </w:rPr>
        <w:t>1200</w:t>
      </w:r>
      <w:r w:rsidRPr="00724436">
        <w:rPr>
          <w:rFonts w:ascii="仿宋_GB2312" w:eastAsia="仿宋_GB2312" w:hAnsi="仿宋_GB2312" w:cs="仿宋_GB2312" w:hint="eastAsia"/>
          <w:sz w:val="32"/>
          <w:szCs w:val="32"/>
          <w:lang w:eastAsia="zh-Hans"/>
        </w:rPr>
        <w:t>位教师、</w:t>
      </w:r>
      <w:r w:rsidRPr="00724436">
        <w:rPr>
          <w:rFonts w:ascii="仿宋_GB2312" w:eastAsia="仿宋_GB2312" w:hAnsi="仿宋_GB2312" w:cs="仿宋_GB2312"/>
          <w:sz w:val="32"/>
          <w:szCs w:val="32"/>
          <w:lang w:eastAsia="zh-Hans"/>
        </w:rPr>
        <w:t>3000</w:t>
      </w:r>
      <w:r w:rsidRPr="00724436">
        <w:rPr>
          <w:rFonts w:ascii="仿宋_GB2312" w:eastAsia="仿宋_GB2312" w:hAnsi="仿宋_GB2312" w:cs="仿宋_GB2312" w:hint="eastAsia"/>
          <w:sz w:val="32"/>
          <w:szCs w:val="32"/>
          <w:lang w:eastAsia="zh-Hans"/>
        </w:rPr>
        <w:t>位家长参加课程培训</w:t>
      </w:r>
      <w:r w:rsidRPr="00724436">
        <w:rPr>
          <w:rFonts w:ascii="仿宋_GB2312" w:eastAsia="仿宋_GB2312" w:hAnsi="仿宋_GB2312" w:cs="仿宋_GB2312" w:hint="eastAsia"/>
          <w:sz w:val="32"/>
          <w:szCs w:val="32"/>
        </w:rPr>
        <w:t>。</w:t>
      </w:r>
      <w:r w:rsidRPr="00724436">
        <w:rPr>
          <w:rFonts w:ascii="仿宋_GB2312" w:eastAsia="仿宋_GB2312" w:hAnsi="仿宋_GB2312" w:cs="仿宋_GB2312"/>
          <w:sz w:val="32"/>
          <w:szCs w:val="32"/>
        </w:rPr>
        <w:t>2020</w:t>
      </w:r>
      <w:r w:rsidRPr="00724436">
        <w:rPr>
          <w:rFonts w:ascii="仿宋_GB2312" w:eastAsia="仿宋_GB2312" w:hAnsi="仿宋_GB2312" w:cs="仿宋_GB2312" w:hint="eastAsia"/>
          <w:sz w:val="32"/>
          <w:szCs w:val="32"/>
        </w:rPr>
        <w:t>年7月，</w:t>
      </w:r>
      <w:r w:rsidRPr="00724436">
        <w:rPr>
          <w:rFonts w:ascii="仿宋_GB2312" w:eastAsia="仿宋_GB2312" w:hAnsi="仿宋_GB2312" w:cs="仿宋_GB2312" w:hint="eastAsia"/>
          <w:sz w:val="32"/>
          <w:szCs w:val="32"/>
          <w:lang w:eastAsia="zh-Hans"/>
        </w:rPr>
        <w:t>北大金秋</w:t>
      </w:r>
      <w:r w:rsidRPr="00724436">
        <w:rPr>
          <w:rFonts w:ascii="仿宋_GB2312" w:eastAsia="仿宋_GB2312" w:hAnsi="仿宋_GB2312" w:cs="仿宋_GB2312" w:hint="eastAsia"/>
          <w:sz w:val="32"/>
          <w:szCs w:val="32"/>
        </w:rPr>
        <w:t>举办的“强基计划培优特训营”，其中有</w:t>
      </w:r>
      <w:r w:rsidRPr="00724436">
        <w:rPr>
          <w:rFonts w:ascii="仿宋_GB2312" w:eastAsia="仿宋_GB2312" w:hAnsi="仿宋_GB2312" w:cs="仿宋_GB2312"/>
          <w:sz w:val="32"/>
          <w:szCs w:val="32"/>
        </w:rPr>
        <w:t>26</w:t>
      </w:r>
      <w:r w:rsidRPr="00724436">
        <w:rPr>
          <w:rFonts w:ascii="仿宋_GB2312" w:eastAsia="仿宋_GB2312" w:hAnsi="仿宋_GB2312" w:cs="仿宋_GB2312" w:hint="eastAsia"/>
          <w:sz w:val="32"/>
          <w:szCs w:val="32"/>
        </w:rPr>
        <w:t>位同学入围清华北大</w:t>
      </w:r>
      <w:r w:rsidRPr="00724436">
        <w:rPr>
          <w:rFonts w:ascii="仿宋_GB2312" w:eastAsia="仿宋_GB2312" w:hAnsi="仿宋_GB2312" w:cs="仿宋_GB2312" w:hint="eastAsia"/>
          <w:sz w:val="32"/>
          <w:szCs w:val="32"/>
          <w:lang w:eastAsia="zh-Hans"/>
        </w:rPr>
        <w:t>强基计划</w:t>
      </w:r>
      <w:r w:rsidRPr="00724436">
        <w:rPr>
          <w:rFonts w:ascii="仿宋_GB2312" w:eastAsia="仿宋_GB2312" w:hAnsi="仿宋_GB2312" w:cs="仿宋_GB2312" w:hint="eastAsia"/>
          <w:sz w:val="32"/>
          <w:szCs w:val="32"/>
        </w:rPr>
        <w:t xml:space="preserve">且最终有8位同学被清华北大录取。 </w:t>
      </w:r>
    </w:p>
    <w:p w:rsidR="00E433EF" w:rsidRDefault="008B5748">
      <w:pPr>
        <w:ind w:firstLineChars="200" w:firstLine="640"/>
        <w:rPr>
          <w:rFonts w:ascii="仿宋_GB2312" w:eastAsia="仿宋_GB2312" w:hAnsi="仿宋_GB2312" w:cs="仿宋_GB2312"/>
          <w:sz w:val="32"/>
          <w:szCs w:val="32"/>
        </w:rPr>
      </w:pPr>
      <w:r w:rsidRPr="00724436">
        <w:rPr>
          <w:rFonts w:ascii="仿宋_GB2312" w:eastAsia="仿宋_GB2312" w:hAnsi="仿宋_GB2312" w:cs="仿宋_GB2312"/>
          <w:sz w:val="32"/>
          <w:szCs w:val="32"/>
        </w:rPr>
        <w:t>2020</w:t>
      </w:r>
      <w:r w:rsidRPr="00724436">
        <w:rPr>
          <w:rFonts w:ascii="仿宋_GB2312" w:eastAsia="仿宋_GB2312" w:hAnsi="仿宋_GB2312" w:cs="仿宋_GB2312" w:hint="eastAsia"/>
          <w:sz w:val="32"/>
          <w:szCs w:val="32"/>
        </w:rPr>
        <w:t>年9月，</w:t>
      </w:r>
      <w:r w:rsidRPr="00724436">
        <w:rPr>
          <w:rFonts w:ascii="仿宋_GB2312" w:eastAsia="仿宋_GB2312" w:hAnsi="仿宋_GB2312" w:cs="仿宋_GB2312" w:hint="eastAsia"/>
          <w:sz w:val="32"/>
          <w:szCs w:val="32"/>
          <w:lang w:eastAsia="zh-Hans"/>
        </w:rPr>
        <w:t>北大金秋举办</w:t>
      </w:r>
      <w:r w:rsidRPr="00724436">
        <w:rPr>
          <w:rFonts w:ascii="仿宋_GB2312" w:eastAsia="仿宋_GB2312" w:hAnsi="仿宋_GB2312" w:cs="仿宋_GB2312" w:hint="eastAsia"/>
          <w:sz w:val="32"/>
          <w:szCs w:val="32"/>
        </w:rPr>
        <w:t>的“强基计划与高中育人方式改革”高端论坛，围绕强基计划政策分析、高中教育、人才培养开展讨论，全国部分省、市教育部门领导、教育科研机构代表</w:t>
      </w:r>
      <w:r w:rsidRPr="00724436">
        <w:rPr>
          <w:rFonts w:ascii="仿宋_GB2312" w:eastAsia="仿宋_GB2312" w:hAnsi="仿宋_GB2312" w:cs="仿宋_GB2312" w:hint="eastAsia"/>
          <w:sz w:val="32"/>
          <w:szCs w:val="32"/>
          <w:lang w:eastAsia="zh-Hans"/>
        </w:rPr>
        <w:t>、</w:t>
      </w:r>
      <w:r w:rsidRPr="00724436">
        <w:rPr>
          <w:rFonts w:ascii="仿宋_GB2312" w:eastAsia="仿宋_GB2312" w:hAnsi="仿宋_GB2312" w:cs="仿宋_GB2312" w:hint="eastAsia"/>
          <w:sz w:val="32"/>
          <w:szCs w:val="32"/>
        </w:rPr>
        <w:t>中学校长和学科骨干教师等3</w:t>
      </w:r>
      <w:r w:rsidRPr="00724436">
        <w:rPr>
          <w:rFonts w:ascii="仿宋_GB2312" w:eastAsia="仿宋_GB2312" w:hAnsi="仿宋_GB2312" w:cs="仿宋_GB2312"/>
          <w:sz w:val="32"/>
          <w:szCs w:val="32"/>
        </w:rPr>
        <w:t>0000</w:t>
      </w:r>
      <w:r w:rsidRPr="00724436">
        <w:rPr>
          <w:rFonts w:ascii="仿宋_GB2312" w:eastAsia="仿宋_GB2312" w:hAnsi="仿宋_GB2312" w:cs="仿宋_GB2312" w:hint="eastAsia"/>
          <w:sz w:val="32"/>
          <w:szCs w:val="32"/>
        </w:rPr>
        <w:t>余人参与学习；全国近4</w:t>
      </w:r>
      <w:r w:rsidRPr="00724436">
        <w:rPr>
          <w:rFonts w:ascii="仿宋_GB2312" w:eastAsia="仿宋_GB2312" w:hAnsi="仿宋_GB2312" w:cs="仿宋_GB2312"/>
          <w:sz w:val="32"/>
          <w:szCs w:val="32"/>
        </w:rPr>
        <w:t>00</w:t>
      </w:r>
      <w:r w:rsidRPr="00724436">
        <w:rPr>
          <w:rFonts w:ascii="仿宋_GB2312" w:eastAsia="仿宋_GB2312" w:hAnsi="仿宋_GB2312" w:cs="仿宋_GB2312" w:hint="eastAsia"/>
          <w:sz w:val="32"/>
          <w:szCs w:val="32"/>
        </w:rPr>
        <w:t>个教育系统单位参与内部分享学习。</w:t>
      </w:r>
    </w:p>
    <w:p w:rsidR="00C31AC3" w:rsidRPr="00724436" w:rsidRDefault="00E433EF">
      <w:pPr>
        <w:ind w:firstLineChars="200" w:firstLine="640"/>
        <w:rPr>
          <w:rFonts w:ascii="仿宋_GB2312" w:eastAsia="仿宋_GB2312" w:hAnsi="仿宋_GB2312" w:cs="仿宋_GB2312"/>
          <w:sz w:val="32"/>
          <w:szCs w:val="32"/>
        </w:rPr>
      </w:pPr>
      <w:r w:rsidRPr="00724436">
        <w:rPr>
          <w:rFonts w:ascii="仿宋_GB2312" w:eastAsia="仿宋_GB2312" w:hAnsi="仿宋_GB2312" w:cs="仿宋_GB2312"/>
          <w:sz w:val="32"/>
          <w:szCs w:val="32"/>
        </w:rPr>
        <w:t>2020</w:t>
      </w:r>
      <w:r>
        <w:rPr>
          <w:rFonts w:ascii="仿宋_GB2312" w:eastAsia="仿宋_GB2312" w:hAnsi="仿宋_GB2312" w:cs="仿宋_GB2312" w:hint="eastAsia"/>
          <w:sz w:val="32"/>
          <w:szCs w:val="32"/>
        </w:rPr>
        <w:t>年1</w:t>
      </w:r>
      <w:r>
        <w:rPr>
          <w:rFonts w:ascii="仿宋_GB2312" w:eastAsia="仿宋_GB2312" w:hAnsi="仿宋_GB2312" w:cs="仿宋_GB2312"/>
          <w:sz w:val="32"/>
          <w:szCs w:val="32"/>
        </w:rPr>
        <w:t>1</w:t>
      </w:r>
      <w:r w:rsidRPr="00724436">
        <w:rPr>
          <w:rFonts w:ascii="仿宋_GB2312" w:eastAsia="仿宋_GB2312" w:hAnsi="仿宋_GB2312" w:cs="仿宋_GB2312" w:hint="eastAsia"/>
          <w:sz w:val="32"/>
          <w:szCs w:val="32"/>
        </w:rPr>
        <w:t>月，</w:t>
      </w:r>
      <w:r w:rsidRPr="00724436">
        <w:rPr>
          <w:rFonts w:ascii="仿宋_GB2312" w:eastAsia="仿宋_GB2312" w:hAnsi="仿宋_GB2312" w:cs="仿宋_GB2312" w:hint="eastAsia"/>
          <w:sz w:val="32"/>
          <w:szCs w:val="32"/>
          <w:lang w:eastAsia="zh-Hans"/>
        </w:rPr>
        <w:t>北大金秋举办</w:t>
      </w:r>
      <w:r w:rsidRPr="00724436">
        <w:rPr>
          <w:rFonts w:ascii="仿宋_GB2312" w:eastAsia="仿宋_GB2312" w:hAnsi="仿宋_GB2312" w:cs="仿宋_GB2312" w:hint="eastAsia"/>
          <w:sz w:val="32"/>
          <w:szCs w:val="32"/>
        </w:rPr>
        <w:t>的“强基计划</w:t>
      </w:r>
      <w:r>
        <w:rPr>
          <w:rFonts w:ascii="仿宋_GB2312" w:eastAsia="仿宋_GB2312" w:hAnsi="仿宋_GB2312" w:cs="仿宋_GB2312" w:hint="eastAsia"/>
          <w:sz w:val="32"/>
          <w:szCs w:val="32"/>
        </w:rPr>
        <w:t>学科创新测评</w:t>
      </w:r>
      <w:r w:rsidRPr="00724436">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第一次考试</w:t>
      </w:r>
      <w:r w:rsidRPr="00724436">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帮助参考学生评测基础学科能力情况与了解适应高校校测的考核方式，助力学校掌握强基学生学</w:t>
      </w:r>
      <w:r>
        <w:rPr>
          <w:rFonts w:ascii="仿宋_GB2312" w:eastAsia="仿宋_GB2312" w:hAnsi="仿宋_GB2312" w:cs="仿宋_GB2312" w:hint="eastAsia"/>
          <w:sz w:val="32"/>
          <w:szCs w:val="32"/>
        </w:rPr>
        <w:lastRenderedPageBreak/>
        <w:t>情以充分布局</w:t>
      </w:r>
      <w:r w:rsidRPr="00724436">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得到了全国近百所高中的认可与积极评价。</w:t>
      </w:r>
      <w:r w:rsidR="008B5748" w:rsidRPr="00724436">
        <w:rPr>
          <w:rFonts w:ascii="仿宋_GB2312" w:eastAsia="仿宋_GB2312" w:hAnsi="仿宋_GB2312" w:cs="仿宋_GB2312" w:hint="eastAsia"/>
          <w:sz w:val="32"/>
          <w:szCs w:val="32"/>
        </w:rPr>
        <w:t xml:space="preserve">             </w:t>
      </w:r>
    </w:p>
    <w:p w:rsidR="00C31AC3" w:rsidRPr="00724436" w:rsidRDefault="008B5748">
      <w:pPr>
        <w:spacing w:line="360" w:lineRule="auto"/>
        <w:ind w:firstLineChars="200" w:firstLine="640"/>
        <w:jc w:val="left"/>
        <w:rPr>
          <w:rFonts w:ascii="仿宋_GB2312" w:eastAsia="仿宋_GB2312" w:hAnsi="仿宋_GB2312" w:cs="仿宋_GB2312"/>
          <w:sz w:val="32"/>
          <w:szCs w:val="32"/>
        </w:rPr>
      </w:pPr>
      <w:r w:rsidRPr="00724436">
        <w:rPr>
          <w:rFonts w:ascii="仿宋_GB2312" w:eastAsia="仿宋_GB2312" w:hAnsi="仿宋_GB2312" w:cs="仿宋_GB2312" w:hint="eastAsia"/>
          <w:sz w:val="32"/>
          <w:szCs w:val="32"/>
        </w:rPr>
        <w:t>北大金秋牵头成立“强基计划人才培养生态联盟”，</w:t>
      </w:r>
      <w:r w:rsidRPr="00724436">
        <w:rPr>
          <w:rFonts w:ascii="仿宋_GB2312" w:eastAsia="仿宋_GB2312" w:hAnsi="仿宋_GB2312" w:cs="仿宋_GB2312"/>
          <w:sz w:val="32"/>
          <w:szCs w:val="32"/>
        </w:rPr>
        <w:t>联盟</w:t>
      </w:r>
      <w:r w:rsidRPr="00724436">
        <w:rPr>
          <w:rFonts w:ascii="仿宋_GB2312" w:eastAsia="仿宋_GB2312" w:hAnsi="仿宋_GB2312" w:cs="仿宋_GB2312" w:hint="eastAsia"/>
          <w:sz w:val="32"/>
          <w:szCs w:val="32"/>
        </w:rPr>
        <w:t>为成员之间提供学术研究与交流</w:t>
      </w:r>
      <w:r w:rsidRPr="00724436">
        <w:rPr>
          <w:rFonts w:ascii="仿宋_GB2312" w:eastAsia="仿宋_GB2312" w:hAnsi="仿宋_GB2312" w:cs="仿宋_GB2312"/>
          <w:sz w:val="32"/>
          <w:szCs w:val="32"/>
        </w:rPr>
        <w:t>合作</w:t>
      </w:r>
      <w:r w:rsidRPr="00724436">
        <w:rPr>
          <w:rFonts w:ascii="仿宋_GB2312" w:eastAsia="仿宋_GB2312" w:hAnsi="仿宋_GB2312" w:cs="仿宋_GB2312" w:hint="eastAsia"/>
          <w:sz w:val="32"/>
          <w:szCs w:val="32"/>
        </w:rPr>
        <w:t>平台，</w:t>
      </w:r>
      <w:r w:rsidRPr="00724436">
        <w:rPr>
          <w:rFonts w:ascii="仿宋_GB2312" w:eastAsia="仿宋_GB2312" w:hAnsi="仿宋_GB2312" w:cs="仿宋_GB2312"/>
          <w:sz w:val="32"/>
          <w:szCs w:val="32"/>
        </w:rPr>
        <w:t>加强高校与高中的互动，促进地区间教育发展与人才培养合作交流，</w:t>
      </w:r>
      <w:r w:rsidRPr="00724436">
        <w:rPr>
          <w:rFonts w:ascii="仿宋_GB2312" w:eastAsia="仿宋_GB2312" w:hAnsi="仿宋_GB2312" w:cs="仿宋_GB2312" w:hint="eastAsia"/>
          <w:sz w:val="32"/>
          <w:szCs w:val="32"/>
        </w:rPr>
        <w:t>为各成员的</w:t>
      </w:r>
      <w:r w:rsidRPr="00724436">
        <w:rPr>
          <w:rFonts w:ascii="仿宋_GB2312" w:eastAsia="仿宋_GB2312" w:hAnsi="仿宋_GB2312" w:cs="仿宋_GB2312"/>
          <w:sz w:val="32"/>
          <w:szCs w:val="32"/>
        </w:rPr>
        <w:t>创新人才培养</w:t>
      </w:r>
      <w:r w:rsidRPr="00724436">
        <w:rPr>
          <w:rFonts w:ascii="仿宋_GB2312" w:eastAsia="仿宋_GB2312" w:hAnsi="仿宋_GB2312" w:cs="仿宋_GB2312" w:hint="eastAsia"/>
          <w:sz w:val="32"/>
          <w:szCs w:val="32"/>
        </w:rPr>
        <w:t>规划与发展进行帮助和指导，全方位建立强基计划人才培养体系</w:t>
      </w:r>
      <w:r w:rsidRPr="00724436">
        <w:rPr>
          <w:rFonts w:ascii="仿宋_GB2312" w:eastAsia="仿宋_GB2312" w:hAnsi="仿宋_GB2312" w:cs="仿宋_GB2312"/>
          <w:sz w:val="32"/>
          <w:szCs w:val="32"/>
        </w:rPr>
        <w:t>，</w:t>
      </w:r>
      <w:r w:rsidRPr="00724436">
        <w:rPr>
          <w:rFonts w:ascii="仿宋_GB2312" w:eastAsia="仿宋_GB2312" w:hAnsi="仿宋_GB2312" w:cs="仿宋_GB2312" w:hint="eastAsia"/>
          <w:sz w:val="32"/>
          <w:szCs w:val="32"/>
        </w:rPr>
        <w:t>为地区量身打造人才培养方案</w:t>
      </w:r>
      <w:r w:rsidRPr="00724436">
        <w:rPr>
          <w:rFonts w:ascii="仿宋_GB2312" w:eastAsia="仿宋_GB2312" w:hAnsi="仿宋_GB2312" w:cs="仿宋_GB2312"/>
          <w:sz w:val="32"/>
          <w:szCs w:val="32"/>
        </w:rPr>
        <w:t>。</w:t>
      </w:r>
    </w:p>
    <w:p w:rsidR="00C31AC3" w:rsidRPr="00724436" w:rsidRDefault="008B5748">
      <w:pPr>
        <w:ind w:firstLineChars="200" w:firstLine="640"/>
        <w:rPr>
          <w:rFonts w:ascii="仿宋_GB2312" w:eastAsia="仿宋_GB2312" w:hAnsi="仿宋_GB2312" w:cs="仿宋_GB2312"/>
          <w:sz w:val="32"/>
          <w:szCs w:val="32"/>
        </w:rPr>
      </w:pPr>
      <w:r w:rsidRPr="00724436">
        <w:rPr>
          <w:rFonts w:ascii="仿宋_GB2312" w:eastAsia="仿宋_GB2312" w:hAnsi="仿宋_GB2312" w:cs="仿宋_GB2312" w:hint="eastAsia"/>
          <w:sz w:val="32"/>
          <w:szCs w:val="32"/>
        </w:rPr>
        <w:t>北大金秋发布《中国高校强基计划指南》，针对强基计划的政策分析和解读、强基计划具体校测模式进行研究，立足政策定位、政策内容、政策沿革三大角度，从时间和空间两个维度对强基计划整体的考核目的、考察方向、专业要求、招生模式、报考门槛、变化趋势等方面进行深入分析和解读。对北京大学、清华大学、南开大学、北京理工大学等十所强基计划重点高校的招生对象、招生专业、招生方式、考核方式、录取方式及培养模式等信息，消除强基计划的信息不对称性。</w:t>
      </w:r>
    </w:p>
    <w:p w:rsidR="00C31AC3" w:rsidRPr="00724436" w:rsidRDefault="008B5748">
      <w:pPr>
        <w:ind w:firstLineChars="200" w:firstLine="640"/>
        <w:rPr>
          <w:rFonts w:ascii="仿宋_GB2312" w:eastAsia="仿宋_GB2312" w:hAnsi="仿宋_GB2312" w:cs="仿宋_GB2312"/>
          <w:sz w:val="32"/>
          <w:szCs w:val="32"/>
        </w:rPr>
      </w:pPr>
      <w:r w:rsidRPr="00724436">
        <w:rPr>
          <w:rFonts w:ascii="仿宋_GB2312" w:eastAsia="仿宋_GB2312" w:hAnsi="仿宋_GB2312" w:cs="仿宋_GB2312" w:hint="eastAsia"/>
          <w:sz w:val="32"/>
          <w:szCs w:val="32"/>
        </w:rPr>
        <w:t>北大</w:t>
      </w:r>
      <w:proofErr w:type="gramStart"/>
      <w:r w:rsidRPr="00724436">
        <w:rPr>
          <w:rFonts w:ascii="仿宋_GB2312" w:eastAsia="仿宋_GB2312" w:hAnsi="仿宋_GB2312" w:cs="仿宋_GB2312" w:hint="eastAsia"/>
          <w:sz w:val="32"/>
          <w:szCs w:val="32"/>
        </w:rPr>
        <w:t>金秋将</w:t>
      </w:r>
      <w:proofErr w:type="gramEnd"/>
      <w:r w:rsidRPr="00724436">
        <w:rPr>
          <w:rFonts w:ascii="仿宋_GB2312" w:eastAsia="仿宋_GB2312" w:hAnsi="仿宋_GB2312" w:cs="仿宋_GB2312" w:hint="eastAsia"/>
          <w:sz w:val="32"/>
          <w:szCs w:val="32"/>
        </w:rPr>
        <w:t>以教师研修、创新测评、生涯指导、培优特训四位一体的强基计划服务体系，与合作学校一同应对新形势下的拔尖</w:t>
      </w:r>
      <w:r w:rsidRPr="00724436">
        <w:rPr>
          <w:rFonts w:ascii="仿宋_GB2312" w:eastAsia="仿宋_GB2312" w:hAnsi="仿宋_GB2312" w:cs="仿宋_GB2312" w:hint="eastAsia"/>
          <w:sz w:val="32"/>
          <w:szCs w:val="32"/>
          <w:lang w:eastAsia="zh-Hans"/>
        </w:rPr>
        <w:t>创新</w:t>
      </w:r>
      <w:r w:rsidRPr="00724436">
        <w:rPr>
          <w:rFonts w:ascii="仿宋_GB2312" w:eastAsia="仿宋_GB2312" w:hAnsi="仿宋_GB2312" w:cs="仿宋_GB2312" w:hint="eastAsia"/>
          <w:sz w:val="32"/>
          <w:szCs w:val="32"/>
        </w:rPr>
        <w:t>人才培养变革，建立各校特色的强基人才培养体系，实现学校的跨越式发展。</w:t>
      </w:r>
    </w:p>
    <w:p w:rsidR="00C31AC3" w:rsidRDefault="00C31AC3">
      <w:pPr>
        <w:ind w:firstLineChars="200" w:firstLine="640"/>
        <w:rPr>
          <w:rFonts w:ascii="仿宋_GB2312" w:eastAsia="仿宋_GB2312" w:hAnsi="仿宋_GB2312" w:cs="仿宋_GB2312"/>
          <w:sz w:val="32"/>
          <w:szCs w:val="32"/>
        </w:rPr>
      </w:pPr>
      <w:bookmarkStart w:id="0" w:name="_GoBack"/>
      <w:bookmarkEnd w:id="0"/>
    </w:p>
    <w:sectPr w:rsidR="00C31AC3">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C94" w:rsidRDefault="00211C94">
      <w:r>
        <w:separator/>
      </w:r>
    </w:p>
  </w:endnote>
  <w:endnote w:type="continuationSeparator" w:id="0">
    <w:p w:rsidR="00211C94" w:rsidRDefault="00211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微软雅黑"/>
    <w:charset w:val="86"/>
    <w:family w:val="auto"/>
    <w:pitch w:val="default"/>
    <w:sig w:usb0="A00002BF" w:usb1="38CF7CFA" w:usb2="00082016" w:usb3="00000000" w:csb0="00040001" w:csb1="00000000"/>
  </w:font>
  <w:font w:name="DejaVu Sans">
    <w:altName w:val="Ebrima"/>
    <w:charset w:val="00"/>
    <w:family w:val="roman"/>
    <w:pitch w:val="default"/>
    <w:sig w:usb0="00000000" w:usb1="00000000" w:usb2="00000008" w:usb3="00000000" w:csb0="000001FF" w:csb1="00000000"/>
  </w:font>
  <w:font w:name="仿宋_GB2312">
    <w:charset w:val="86"/>
    <w:family w:val="modern"/>
    <w:pitch w:val="fixed"/>
    <w:sig w:usb0="00000001" w:usb1="080E0000" w:usb2="00000010" w:usb3="00000000" w:csb0="00040000" w:csb1="00000000"/>
    <w:embedRegular r:id="rId1" w:subsetted="1" w:fontKey="{2E2C45B8-D76F-4B63-A8C0-7BC566968258}"/>
    <w:embedBold r:id="rId2" w:subsetted="1" w:fontKey="{43BD0722-331C-430A-A791-1CB4CF52A844}"/>
  </w:font>
  <w:font w:name="Arial">
    <w:panose1 w:val="020B0604020202020204"/>
    <w:charset w:val="00"/>
    <w:family w:val="swiss"/>
    <w:pitch w:val="variable"/>
    <w:sig w:usb0="E0002AFF" w:usb1="C0007843" w:usb2="00000009" w:usb3="00000000" w:csb0="000001FF" w:csb1="00000000"/>
  </w:font>
  <w:font w:name="楷体-简">
    <w:charset w:val="86"/>
    <w:family w:val="auto"/>
    <w:pitch w:val="default"/>
    <w:sig w:usb0="00000000" w:usb1="00000000" w:usb2="00000016" w:usb3="00000000" w:csb0="0004001F" w:csb1="00000000"/>
    <w:embedRegular r:id="rId3" w:subsetted="1" w:fontKey="{FEE5A853-DC41-4F52-B1A2-9A8873A93CBA}"/>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AC3" w:rsidRDefault="008B5748">
    <w:pPr>
      <w:pStyle w:val="a5"/>
      <w:rPr>
        <w:sz w:val="20"/>
        <w:szCs w:val="28"/>
      </w:rPr>
    </w:pPr>
    <w:r>
      <w:rPr>
        <w:rFonts w:ascii="楷体-简" w:eastAsia="楷体-简" w:hAnsi="楷体-简" w:cs="楷体-简" w:hint="eastAsia"/>
        <w:noProof/>
        <w:sz w:val="20"/>
        <w:szCs w:val="28"/>
      </w:rPr>
      <mc:AlternateContent>
        <mc:Choice Requires="wps">
          <w:drawing>
            <wp:anchor distT="0" distB="0" distL="114300" distR="114300" simplePos="0" relativeHeight="251658240" behindDoc="0" locked="0" layoutInCell="1" allowOverlap="1" wp14:anchorId="75C2384F" wp14:editId="36F71726">
              <wp:simplePos x="0" y="0"/>
              <wp:positionH relativeFrom="margin">
                <wp:posOffset>4276725</wp:posOffset>
              </wp:positionH>
              <wp:positionV relativeFrom="paragraph">
                <wp:posOffset>-9525</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31AC3" w:rsidRDefault="008B5748">
                          <w:pPr>
                            <w:snapToGrid w:val="0"/>
                            <w:rPr>
                              <w:rFonts w:ascii="楷体-简" w:eastAsia="楷体-简" w:hAnsi="楷体-简" w:cs="楷体-简"/>
                              <w:sz w:val="20"/>
                              <w:szCs w:val="20"/>
                            </w:rPr>
                          </w:pPr>
                          <w:r>
                            <w:rPr>
                              <w:rFonts w:ascii="楷体-简" w:eastAsia="楷体-简" w:hAnsi="楷体-简" w:cs="楷体-简" w:hint="eastAsia"/>
                              <w:sz w:val="20"/>
                              <w:szCs w:val="20"/>
                            </w:rPr>
                            <w:t xml:space="preserve">第 </w:t>
                          </w:r>
                          <w:r>
                            <w:rPr>
                              <w:rFonts w:ascii="楷体-简" w:eastAsia="楷体-简" w:hAnsi="楷体-简" w:cs="楷体-简" w:hint="eastAsia"/>
                              <w:sz w:val="20"/>
                              <w:szCs w:val="20"/>
                            </w:rPr>
                            <w:fldChar w:fldCharType="begin"/>
                          </w:r>
                          <w:r>
                            <w:rPr>
                              <w:rFonts w:ascii="楷体-简" w:eastAsia="楷体-简" w:hAnsi="楷体-简" w:cs="楷体-简" w:hint="eastAsia"/>
                              <w:sz w:val="20"/>
                              <w:szCs w:val="20"/>
                            </w:rPr>
                            <w:instrText xml:space="preserve"> PAGE  \* MERGEFORMAT </w:instrText>
                          </w:r>
                          <w:r>
                            <w:rPr>
                              <w:rFonts w:ascii="楷体-简" w:eastAsia="楷体-简" w:hAnsi="楷体-简" w:cs="楷体-简" w:hint="eastAsia"/>
                              <w:sz w:val="20"/>
                              <w:szCs w:val="20"/>
                            </w:rPr>
                            <w:fldChar w:fldCharType="separate"/>
                          </w:r>
                          <w:r w:rsidR="00F016E0">
                            <w:rPr>
                              <w:rFonts w:ascii="楷体-简" w:eastAsia="楷体-简" w:hAnsi="楷体-简" w:cs="楷体-简"/>
                              <w:noProof/>
                              <w:sz w:val="20"/>
                              <w:szCs w:val="20"/>
                            </w:rPr>
                            <w:t>2</w:t>
                          </w:r>
                          <w:r>
                            <w:rPr>
                              <w:rFonts w:ascii="楷体-简" w:eastAsia="楷体-简" w:hAnsi="楷体-简" w:cs="楷体-简" w:hint="eastAsia"/>
                              <w:sz w:val="20"/>
                              <w:szCs w:val="20"/>
                            </w:rPr>
                            <w:fldChar w:fldCharType="end"/>
                          </w:r>
                          <w:r>
                            <w:rPr>
                              <w:rFonts w:ascii="楷体-简" w:eastAsia="楷体-简" w:hAnsi="楷体-简" w:cs="楷体-简" w:hint="eastAsia"/>
                              <w:sz w:val="20"/>
                              <w:szCs w:val="20"/>
                            </w:rPr>
                            <w:t xml:space="preserve"> 页 共 </w:t>
                          </w:r>
                          <w:r>
                            <w:rPr>
                              <w:rFonts w:ascii="楷体-简" w:eastAsia="楷体-简" w:hAnsi="楷体-简" w:cs="楷体-简" w:hint="eastAsia"/>
                              <w:sz w:val="20"/>
                              <w:szCs w:val="20"/>
                            </w:rPr>
                            <w:fldChar w:fldCharType="begin"/>
                          </w:r>
                          <w:r>
                            <w:rPr>
                              <w:rFonts w:ascii="楷体-简" w:eastAsia="楷体-简" w:hAnsi="楷体-简" w:cs="楷体-简" w:hint="eastAsia"/>
                              <w:sz w:val="20"/>
                              <w:szCs w:val="20"/>
                            </w:rPr>
                            <w:instrText xml:space="preserve"> NUMPAGES  \* MERGEFORMAT </w:instrText>
                          </w:r>
                          <w:r>
                            <w:rPr>
                              <w:rFonts w:ascii="楷体-简" w:eastAsia="楷体-简" w:hAnsi="楷体-简" w:cs="楷体-简" w:hint="eastAsia"/>
                              <w:sz w:val="20"/>
                              <w:szCs w:val="20"/>
                            </w:rPr>
                            <w:fldChar w:fldCharType="separate"/>
                          </w:r>
                          <w:r w:rsidR="00F016E0">
                            <w:rPr>
                              <w:rFonts w:ascii="楷体-简" w:eastAsia="楷体-简" w:hAnsi="楷体-简" w:cs="楷体-简"/>
                              <w:noProof/>
                              <w:sz w:val="20"/>
                              <w:szCs w:val="20"/>
                            </w:rPr>
                            <w:t>2</w:t>
                          </w:r>
                          <w:r>
                            <w:rPr>
                              <w:rFonts w:ascii="楷体-简" w:eastAsia="楷体-简" w:hAnsi="楷体-简" w:cs="楷体-简" w:hint="eastAsia"/>
                              <w:sz w:val="20"/>
                              <w:szCs w:val="20"/>
                            </w:rPr>
                            <w:fldChar w:fldCharType="end"/>
                          </w:r>
                          <w:r>
                            <w:rPr>
                              <w:rFonts w:ascii="楷体-简" w:eastAsia="楷体-简" w:hAnsi="楷体-简" w:cs="楷体-简" w:hint="eastAsia"/>
                              <w:sz w:val="20"/>
                              <w:szCs w:val="20"/>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6" type="#_x0000_t202" style="position:absolute;margin-left:336.75pt;margin-top:-.75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" filled="f" stroked="f" strokeweight=".5pt">
              <v:textbox style="mso-fit-shape-to-text:t" inset="0,0,0,0">
                <w:txbxContent>
                  <w:p w:rsidR="00C31AC3" w:rsidRDefault="008B5748">
                    <w:pPr>
                      <w:snapToGrid w:val="0"/>
                      <w:rPr>
                        <w:rFonts w:ascii="楷体-简" w:eastAsia="楷体-简" w:hAnsi="楷体-简" w:cs="楷体-简"/>
                        <w:sz w:val="20"/>
                        <w:szCs w:val="20"/>
                      </w:rPr>
                    </w:pPr>
                    <w:r>
                      <w:rPr>
                        <w:rFonts w:ascii="楷体-简" w:eastAsia="楷体-简" w:hAnsi="楷体-简" w:cs="楷体-简" w:hint="eastAsia"/>
                        <w:sz w:val="20"/>
                        <w:szCs w:val="20"/>
                      </w:rPr>
                      <w:t xml:space="preserve">第 </w:t>
                    </w:r>
                    <w:r>
                      <w:rPr>
                        <w:rFonts w:ascii="楷体-简" w:eastAsia="楷体-简" w:hAnsi="楷体-简" w:cs="楷体-简" w:hint="eastAsia"/>
                        <w:sz w:val="20"/>
                        <w:szCs w:val="20"/>
                      </w:rPr>
                      <w:fldChar w:fldCharType="begin"/>
                    </w:r>
                    <w:r>
                      <w:rPr>
                        <w:rFonts w:ascii="楷体-简" w:eastAsia="楷体-简" w:hAnsi="楷体-简" w:cs="楷体-简" w:hint="eastAsia"/>
                        <w:sz w:val="20"/>
                        <w:szCs w:val="20"/>
                      </w:rPr>
                      <w:instrText xml:space="preserve"> PAGE  \* MERGEFORMAT </w:instrText>
                    </w:r>
                    <w:r>
                      <w:rPr>
                        <w:rFonts w:ascii="楷体-简" w:eastAsia="楷体-简" w:hAnsi="楷体-简" w:cs="楷体-简" w:hint="eastAsia"/>
                        <w:sz w:val="20"/>
                        <w:szCs w:val="20"/>
                      </w:rPr>
                      <w:fldChar w:fldCharType="separate"/>
                    </w:r>
                    <w:r w:rsidR="00F016E0">
                      <w:rPr>
                        <w:rFonts w:ascii="楷体-简" w:eastAsia="楷体-简" w:hAnsi="楷体-简" w:cs="楷体-简"/>
                        <w:noProof/>
                        <w:sz w:val="20"/>
                        <w:szCs w:val="20"/>
                      </w:rPr>
                      <w:t>2</w:t>
                    </w:r>
                    <w:r>
                      <w:rPr>
                        <w:rFonts w:ascii="楷体-简" w:eastAsia="楷体-简" w:hAnsi="楷体-简" w:cs="楷体-简" w:hint="eastAsia"/>
                        <w:sz w:val="20"/>
                        <w:szCs w:val="20"/>
                      </w:rPr>
                      <w:fldChar w:fldCharType="end"/>
                    </w:r>
                    <w:r>
                      <w:rPr>
                        <w:rFonts w:ascii="楷体-简" w:eastAsia="楷体-简" w:hAnsi="楷体-简" w:cs="楷体-简" w:hint="eastAsia"/>
                        <w:sz w:val="20"/>
                        <w:szCs w:val="20"/>
                      </w:rPr>
                      <w:t xml:space="preserve"> 页 共 </w:t>
                    </w:r>
                    <w:r>
                      <w:rPr>
                        <w:rFonts w:ascii="楷体-简" w:eastAsia="楷体-简" w:hAnsi="楷体-简" w:cs="楷体-简" w:hint="eastAsia"/>
                        <w:sz w:val="20"/>
                        <w:szCs w:val="20"/>
                      </w:rPr>
                      <w:fldChar w:fldCharType="begin"/>
                    </w:r>
                    <w:r>
                      <w:rPr>
                        <w:rFonts w:ascii="楷体-简" w:eastAsia="楷体-简" w:hAnsi="楷体-简" w:cs="楷体-简" w:hint="eastAsia"/>
                        <w:sz w:val="20"/>
                        <w:szCs w:val="20"/>
                      </w:rPr>
                      <w:instrText xml:space="preserve"> NUMPAGES  \* MERGEFORMAT </w:instrText>
                    </w:r>
                    <w:r>
                      <w:rPr>
                        <w:rFonts w:ascii="楷体-简" w:eastAsia="楷体-简" w:hAnsi="楷体-简" w:cs="楷体-简" w:hint="eastAsia"/>
                        <w:sz w:val="20"/>
                        <w:szCs w:val="20"/>
                      </w:rPr>
                      <w:fldChar w:fldCharType="separate"/>
                    </w:r>
                    <w:r w:rsidR="00F016E0">
                      <w:rPr>
                        <w:rFonts w:ascii="楷体-简" w:eastAsia="楷体-简" w:hAnsi="楷体-简" w:cs="楷体-简"/>
                        <w:noProof/>
                        <w:sz w:val="20"/>
                        <w:szCs w:val="20"/>
                      </w:rPr>
                      <w:t>2</w:t>
                    </w:r>
                    <w:r>
                      <w:rPr>
                        <w:rFonts w:ascii="楷体-简" w:eastAsia="楷体-简" w:hAnsi="楷体-简" w:cs="楷体-简" w:hint="eastAsia"/>
                        <w:sz w:val="20"/>
                        <w:szCs w:val="20"/>
                      </w:rPr>
                      <w:fldChar w:fldCharType="end"/>
                    </w:r>
                    <w:r>
                      <w:rPr>
                        <w:rFonts w:ascii="楷体-简" w:eastAsia="楷体-简" w:hAnsi="楷体-简" w:cs="楷体-简" w:hint="eastAsia"/>
                        <w:sz w:val="20"/>
                        <w:szCs w:val="20"/>
                      </w:rPr>
                      <w:t xml:space="preserve"> 页</w:t>
                    </w:r>
                  </w:p>
                </w:txbxContent>
              </v:textbox>
              <w10:wrap anchorx="margin"/>
            </v:shape>
          </w:pict>
        </mc:Fallback>
      </mc:AlternateContent>
    </w:r>
    <w:r>
      <w:rPr>
        <w:rFonts w:ascii="楷体-简" w:eastAsia="楷体-简" w:hAnsi="楷体-简" w:cs="楷体-简" w:hint="eastAsia"/>
        <w:sz w:val="20"/>
        <w:szCs w:val="28"/>
      </w:rPr>
      <w:t>北京</w:t>
    </w:r>
    <w:r>
      <w:rPr>
        <w:rFonts w:ascii="楷体-简" w:eastAsia="楷体-简" w:hAnsi="楷体-简" w:cs="楷体-简"/>
        <w:sz w:val="20"/>
        <w:szCs w:val="28"/>
      </w:rPr>
      <w:t>市</w:t>
    </w:r>
    <w:r>
      <w:rPr>
        <w:rFonts w:ascii="楷体-简" w:eastAsia="楷体-简" w:hAnsi="楷体-简" w:cs="楷体-简" w:hint="eastAsia"/>
        <w:sz w:val="20"/>
        <w:szCs w:val="28"/>
      </w:rPr>
      <w:t>海淀区中关村北大街</w:t>
    </w:r>
    <w:r>
      <w:rPr>
        <w:rFonts w:ascii="楷体-简" w:eastAsia="楷体-简" w:hAnsi="楷体-简" w:cs="楷体-简"/>
        <w:sz w:val="20"/>
        <w:szCs w:val="28"/>
      </w:rPr>
      <w:t>127-1号</w:t>
    </w:r>
    <w:r>
      <w:rPr>
        <w:rFonts w:ascii="楷体-简" w:eastAsia="楷体-简" w:hAnsi="楷体-简" w:cs="楷体-简" w:hint="eastAsia"/>
        <w:sz w:val="20"/>
        <w:szCs w:val="28"/>
      </w:rPr>
      <w:t xml:space="preserve">北大科技园102  </w:t>
    </w:r>
    <w:r>
      <w:rPr>
        <w:rFonts w:ascii="楷体-简" w:eastAsia="楷体-简" w:hAnsi="楷体-简" w:cs="楷体-简"/>
        <w:sz w:val="20"/>
        <w:szCs w:val="28"/>
      </w:rPr>
      <w:t xml:space="preserve">    </w:t>
    </w:r>
    <w:r>
      <w:rPr>
        <w:rFonts w:ascii="楷体-简" w:eastAsia="楷体-简" w:hAnsi="楷体-简" w:cs="楷体-简" w:hint="eastAsia"/>
        <w:sz w:val="20"/>
        <w:szCs w:val="28"/>
      </w:rPr>
      <w:t>邮编：100871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C94" w:rsidRDefault="00211C94">
      <w:r>
        <w:separator/>
      </w:r>
    </w:p>
  </w:footnote>
  <w:footnote w:type="continuationSeparator" w:id="0">
    <w:p w:rsidR="00211C94" w:rsidRDefault="00211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AC3" w:rsidRDefault="008B5748">
    <w:pPr>
      <w:pStyle w:val="a6"/>
      <w:jc w:val="center"/>
    </w:pPr>
    <w:r>
      <w:rPr>
        <w:noProof/>
      </w:rPr>
      <w:drawing>
        <wp:anchor distT="0" distB="0" distL="114300" distR="114300" simplePos="0" relativeHeight="251659264" behindDoc="1" locked="0" layoutInCell="1" allowOverlap="1" wp14:anchorId="0CAC475A" wp14:editId="483A08BC">
          <wp:simplePos x="0" y="0"/>
          <wp:positionH relativeFrom="margin">
            <wp:align>center</wp:align>
          </wp:positionH>
          <wp:positionV relativeFrom="margin">
            <wp:align>center</wp:align>
          </wp:positionV>
          <wp:extent cx="5274310" cy="3954780"/>
          <wp:effectExtent l="0" t="0" r="8890" b="7620"/>
          <wp:wrapNone/>
          <wp:docPr id="1" name="WordPictureWatermark252097"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52097" descr="timg"/>
                  <pic:cNvPicPr>
                    <a:picLocks noChangeAspect="1"/>
                  </pic:cNvPicPr>
                </pic:nvPicPr>
                <pic:blipFill>
                  <a:blip r:embed="rId1">
                    <a:lum bright="69998" contrast="-70001"/>
                  </a:blip>
                  <a:stretch>
                    <a:fillRect/>
                  </a:stretch>
                </pic:blipFill>
                <pic:spPr>
                  <a:xfrm>
                    <a:off x="0" y="0"/>
                    <a:ext cx="5274310" cy="3954780"/>
                  </a:xfrm>
                  <a:prstGeom prst="rect">
                    <a:avLst/>
                  </a:prstGeom>
                  <a:noFill/>
                  <a:ln w="9525">
                    <a:noFill/>
                  </a:ln>
                </pic:spPr>
              </pic:pic>
            </a:graphicData>
          </a:graphic>
        </wp:anchor>
      </w:drawing>
    </w:r>
    <w:r>
      <w:rPr>
        <w:noProof/>
      </w:rPr>
      <w:drawing>
        <wp:inline distT="0" distB="0" distL="114300" distR="114300" wp14:anchorId="756DE13F" wp14:editId="13671CA2">
          <wp:extent cx="1460500" cy="393065"/>
          <wp:effectExtent l="0" t="0" r="12700" b="13335"/>
          <wp:docPr id="3" name="图片 3" descr="屏幕快照 2020-06-09 02.32.08 P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屏幕快照 2020-06-09 02.32.08 PM"/>
                  <pic:cNvPicPr>
                    <a:picLocks noChangeAspect="1"/>
                  </pic:cNvPicPr>
                </pic:nvPicPr>
                <pic:blipFill>
                  <a:blip r:embed="rId2">
                    <a:lum contrast="12000"/>
                  </a:blip>
                  <a:stretch>
                    <a:fillRect/>
                  </a:stretch>
                </pic:blipFill>
                <pic:spPr>
                  <a:xfrm>
                    <a:off x="0" y="0"/>
                    <a:ext cx="1460500" cy="39306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5F727F"/>
    <w:multiLevelType w:val="singleLevel"/>
    <w:tmpl w:val="5F5F727F"/>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EED52BC"/>
    <w:rsid w:val="CB5FD5BA"/>
    <w:rsid w:val="DBCBA6FE"/>
    <w:rsid w:val="DEED52BC"/>
    <w:rsid w:val="FEAFDD28"/>
    <w:rsid w:val="FFB4B5CC"/>
    <w:rsid w:val="0001519C"/>
    <w:rsid w:val="000723B5"/>
    <w:rsid w:val="000744E2"/>
    <w:rsid w:val="00076BF3"/>
    <w:rsid w:val="00192553"/>
    <w:rsid w:val="001C6B22"/>
    <w:rsid w:val="001F47D3"/>
    <w:rsid w:val="00211C94"/>
    <w:rsid w:val="00220714"/>
    <w:rsid w:val="0022109C"/>
    <w:rsid w:val="00270622"/>
    <w:rsid w:val="002838D9"/>
    <w:rsid w:val="002D6910"/>
    <w:rsid w:val="002E4AB3"/>
    <w:rsid w:val="002F1086"/>
    <w:rsid w:val="0030479A"/>
    <w:rsid w:val="003075C2"/>
    <w:rsid w:val="003502F3"/>
    <w:rsid w:val="0037405D"/>
    <w:rsid w:val="00382554"/>
    <w:rsid w:val="003A3289"/>
    <w:rsid w:val="003A58FC"/>
    <w:rsid w:val="003B67C5"/>
    <w:rsid w:val="003C446B"/>
    <w:rsid w:val="003E6F6C"/>
    <w:rsid w:val="004013C7"/>
    <w:rsid w:val="00472BFB"/>
    <w:rsid w:val="004743EE"/>
    <w:rsid w:val="004F0243"/>
    <w:rsid w:val="00507ACC"/>
    <w:rsid w:val="00560BAC"/>
    <w:rsid w:val="005A5454"/>
    <w:rsid w:val="005D094C"/>
    <w:rsid w:val="005F5763"/>
    <w:rsid w:val="0063039F"/>
    <w:rsid w:val="00646611"/>
    <w:rsid w:val="006517E5"/>
    <w:rsid w:val="00661950"/>
    <w:rsid w:val="006921D5"/>
    <w:rsid w:val="0069403C"/>
    <w:rsid w:val="006A6391"/>
    <w:rsid w:val="006B08A3"/>
    <w:rsid w:val="006E4CB5"/>
    <w:rsid w:val="00724436"/>
    <w:rsid w:val="00726889"/>
    <w:rsid w:val="007A7E18"/>
    <w:rsid w:val="007E6D5A"/>
    <w:rsid w:val="00855F1C"/>
    <w:rsid w:val="0085645F"/>
    <w:rsid w:val="00881381"/>
    <w:rsid w:val="008916C0"/>
    <w:rsid w:val="008A11A8"/>
    <w:rsid w:val="008B5748"/>
    <w:rsid w:val="008D1E4C"/>
    <w:rsid w:val="00901675"/>
    <w:rsid w:val="00934836"/>
    <w:rsid w:val="009500E5"/>
    <w:rsid w:val="009531CF"/>
    <w:rsid w:val="00981D38"/>
    <w:rsid w:val="0098760B"/>
    <w:rsid w:val="009907DB"/>
    <w:rsid w:val="009A00AC"/>
    <w:rsid w:val="009A2FE5"/>
    <w:rsid w:val="009B551B"/>
    <w:rsid w:val="009F475E"/>
    <w:rsid w:val="00A012E6"/>
    <w:rsid w:val="00A221AB"/>
    <w:rsid w:val="00A25637"/>
    <w:rsid w:val="00A40531"/>
    <w:rsid w:val="00A469D1"/>
    <w:rsid w:val="00A55AA4"/>
    <w:rsid w:val="00A65F39"/>
    <w:rsid w:val="00A70AB4"/>
    <w:rsid w:val="00A75F0D"/>
    <w:rsid w:val="00A85F3D"/>
    <w:rsid w:val="00A96AFE"/>
    <w:rsid w:val="00AA4CC9"/>
    <w:rsid w:val="00AF4DAB"/>
    <w:rsid w:val="00B25666"/>
    <w:rsid w:val="00B26F7B"/>
    <w:rsid w:val="00B977DD"/>
    <w:rsid w:val="00BC24AC"/>
    <w:rsid w:val="00BC2E04"/>
    <w:rsid w:val="00BE6D72"/>
    <w:rsid w:val="00C31AC3"/>
    <w:rsid w:val="00C42613"/>
    <w:rsid w:val="00C55ABF"/>
    <w:rsid w:val="00C81D38"/>
    <w:rsid w:val="00C854C8"/>
    <w:rsid w:val="00CB449E"/>
    <w:rsid w:val="00CB7629"/>
    <w:rsid w:val="00CC4DFF"/>
    <w:rsid w:val="00D07218"/>
    <w:rsid w:val="00D335D7"/>
    <w:rsid w:val="00DD58B5"/>
    <w:rsid w:val="00DE1859"/>
    <w:rsid w:val="00E433EF"/>
    <w:rsid w:val="00E66E18"/>
    <w:rsid w:val="00E83024"/>
    <w:rsid w:val="00EB1F2C"/>
    <w:rsid w:val="00EB5FA7"/>
    <w:rsid w:val="00F016E0"/>
    <w:rsid w:val="00F108F4"/>
    <w:rsid w:val="00F15B78"/>
    <w:rsid w:val="00F41CF3"/>
    <w:rsid w:val="00F51AD5"/>
    <w:rsid w:val="00FA243F"/>
    <w:rsid w:val="00FB328C"/>
    <w:rsid w:val="00FD506F"/>
    <w:rsid w:val="08A40089"/>
    <w:rsid w:val="17CA3573"/>
    <w:rsid w:val="2D402818"/>
    <w:rsid w:val="36F99B04"/>
    <w:rsid w:val="3DCF2FD4"/>
    <w:rsid w:val="3DD033FF"/>
    <w:rsid w:val="3F9DCB9B"/>
    <w:rsid w:val="56BF48D0"/>
    <w:rsid w:val="5FFDD59C"/>
    <w:rsid w:val="67BB86F5"/>
    <w:rsid w:val="6AA13360"/>
    <w:rsid w:val="6B282ABA"/>
    <w:rsid w:val="740E0529"/>
    <w:rsid w:val="76DE3D7E"/>
    <w:rsid w:val="7AE34BA0"/>
    <w:rsid w:val="7F77B9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pPr>
      <w:keepNext/>
      <w:keepLines/>
      <w:spacing w:before="340" w:after="330" w:line="576" w:lineRule="auto"/>
      <w:jc w:val="left"/>
      <w:outlineLvl w:val="0"/>
    </w:pPr>
    <w:rPr>
      <w:rFonts w:eastAsia="方正小标宋_GBK"/>
      <w:b/>
      <w:kern w:val="44"/>
      <w:sz w:val="30"/>
    </w:rPr>
  </w:style>
  <w:style w:type="paragraph" w:styleId="2">
    <w:name w:val="heading 2"/>
    <w:basedOn w:val="a"/>
    <w:next w:val="a"/>
    <w:unhideWhenUsed/>
    <w:qFormat/>
    <w:pPr>
      <w:keepNext/>
      <w:keepLines/>
      <w:spacing w:before="260" w:after="260" w:line="413" w:lineRule="auto"/>
      <w:jc w:val="left"/>
      <w:outlineLvl w:val="1"/>
    </w:pPr>
    <w:rPr>
      <w:rFonts w:ascii="DejaVu Sans" w:eastAsia="仿宋_GB2312" w:hAnsi="DejaVu Sans"/>
      <w:b/>
      <w:sz w:val="28"/>
    </w:rPr>
  </w:style>
  <w:style w:type="paragraph" w:styleId="3">
    <w:name w:val="heading 3"/>
    <w:basedOn w:val="a"/>
    <w:next w:val="a"/>
    <w:unhideWhenUsed/>
    <w:qFormat/>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Date"/>
    <w:basedOn w:val="a"/>
    <w:next w:val="a"/>
    <w:link w:val="Char"/>
    <w:pPr>
      <w:ind w:leftChars="2500" w:left="100"/>
    </w:p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paragraph" w:styleId="a7">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table" w:styleId="a8">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不明显强调1"/>
    <w:basedOn w:val="a0"/>
    <w:uiPriority w:val="19"/>
    <w:qFormat/>
    <w:rPr>
      <w:i/>
      <w:iCs/>
      <w:color w:val="404040" w:themeColor="text1" w:themeTint="BF"/>
    </w:rPr>
  </w:style>
  <w:style w:type="paragraph" w:customStyle="1" w:styleId="11">
    <w:name w:val="列出段落1"/>
    <w:basedOn w:val="a"/>
    <w:uiPriority w:val="34"/>
    <w:qFormat/>
    <w:pPr>
      <w:ind w:firstLineChars="200" w:firstLine="420"/>
    </w:pPr>
  </w:style>
  <w:style w:type="character" w:customStyle="1" w:styleId="Char">
    <w:name w:val="日期 Char"/>
    <w:basedOn w:val="a0"/>
    <w:link w:val="a4"/>
    <w:rPr>
      <w:rFonts w:asciiTheme="minorHAnsi" w:eastAsiaTheme="minorEastAsia" w:hAnsiTheme="minorHAnsi" w:cstheme="minorBidi"/>
      <w:kern w:val="2"/>
      <w:sz w:val="21"/>
      <w:szCs w:val="22"/>
    </w:rPr>
  </w:style>
  <w:style w:type="table" w:customStyle="1" w:styleId="12">
    <w:name w:val="网格型1"/>
    <w:basedOn w:val="a1"/>
    <w:next w:val="a8"/>
    <w:qFormat/>
    <w:rsid w:val="0090167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2838D9"/>
    <w:rPr>
      <w:color w:val="0563C1" w:themeColor="hyperlink"/>
      <w:u w:val="single"/>
    </w:rPr>
  </w:style>
  <w:style w:type="character" w:customStyle="1" w:styleId="UnresolvedMention">
    <w:name w:val="Unresolved Mention"/>
    <w:basedOn w:val="a0"/>
    <w:uiPriority w:val="99"/>
    <w:semiHidden/>
    <w:unhideWhenUsed/>
    <w:rsid w:val="002838D9"/>
    <w:rPr>
      <w:color w:val="605E5C"/>
      <w:shd w:val="clear" w:color="auto" w:fill="E1DFDD"/>
    </w:rPr>
  </w:style>
  <w:style w:type="paragraph" w:styleId="aa">
    <w:name w:val="Balloon Text"/>
    <w:basedOn w:val="a"/>
    <w:link w:val="Char0"/>
    <w:rsid w:val="00726889"/>
    <w:rPr>
      <w:sz w:val="18"/>
      <w:szCs w:val="18"/>
    </w:rPr>
  </w:style>
  <w:style w:type="character" w:customStyle="1" w:styleId="Char0">
    <w:name w:val="批注框文本 Char"/>
    <w:basedOn w:val="a0"/>
    <w:link w:val="aa"/>
    <w:rsid w:val="00726889"/>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pPr>
      <w:keepNext/>
      <w:keepLines/>
      <w:spacing w:before="340" w:after="330" w:line="576" w:lineRule="auto"/>
      <w:jc w:val="left"/>
      <w:outlineLvl w:val="0"/>
    </w:pPr>
    <w:rPr>
      <w:rFonts w:eastAsia="方正小标宋_GBK"/>
      <w:b/>
      <w:kern w:val="44"/>
      <w:sz w:val="30"/>
    </w:rPr>
  </w:style>
  <w:style w:type="paragraph" w:styleId="2">
    <w:name w:val="heading 2"/>
    <w:basedOn w:val="a"/>
    <w:next w:val="a"/>
    <w:unhideWhenUsed/>
    <w:qFormat/>
    <w:pPr>
      <w:keepNext/>
      <w:keepLines/>
      <w:spacing w:before="260" w:after="260" w:line="413" w:lineRule="auto"/>
      <w:jc w:val="left"/>
      <w:outlineLvl w:val="1"/>
    </w:pPr>
    <w:rPr>
      <w:rFonts w:ascii="DejaVu Sans" w:eastAsia="仿宋_GB2312" w:hAnsi="DejaVu Sans"/>
      <w:b/>
      <w:sz w:val="28"/>
    </w:rPr>
  </w:style>
  <w:style w:type="paragraph" w:styleId="3">
    <w:name w:val="heading 3"/>
    <w:basedOn w:val="a"/>
    <w:next w:val="a"/>
    <w:unhideWhenUsed/>
    <w:qFormat/>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Date"/>
    <w:basedOn w:val="a"/>
    <w:next w:val="a"/>
    <w:link w:val="Char"/>
    <w:pPr>
      <w:ind w:leftChars="2500" w:left="100"/>
    </w:p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paragraph" w:styleId="a7">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table" w:styleId="a8">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不明显强调1"/>
    <w:basedOn w:val="a0"/>
    <w:uiPriority w:val="19"/>
    <w:qFormat/>
    <w:rPr>
      <w:i/>
      <w:iCs/>
      <w:color w:val="404040" w:themeColor="text1" w:themeTint="BF"/>
    </w:rPr>
  </w:style>
  <w:style w:type="paragraph" w:customStyle="1" w:styleId="11">
    <w:name w:val="列出段落1"/>
    <w:basedOn w:val="a"/>
    <w:uiPriority w:val="34"/>
    <w:qFormat/>
    <w:pPr>
      <w:ind w:firstLineChars="200" w:firstLine="420"/>
    </w:pPr>
  </w:style>
  <w:style w:type="character" w:customStyle="1" w:styleId="Char">
    <w:name w:val="日期 Char"/>
    <w:basedOn w:val="a0"/>
    <w:link w:val="a4"/>
    <w:rPr>
      <w:rFonts w:asciiTheme="minorHAnsi" w:eastAsiaTheme="minorEastAsia" w:hAnsiTheme="minorHAnsi" w:cstheme="minorBidi"/>
      <w:kern w:val="2"/>
      <w:sz w:val="21"/>
      <w:szCs w:val="22"/>
    </w:rPr>
  </w:style>
  <w:style w:type="table" w:customStyle="1" w:styleId="12">
    <w:name w:val="网格型1"/>
    <w:basedOn w:val="a1"/>
    <w:next w:val="a8"/>
    <w:qFormat/>
    <w:rsid w:val="0090167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2838D9"/>
    <w:rPr>
      <w:color w:val="0563C1" w:themeColor="hyperlink"/>
      <w:u w:val="single"/>
    </w:rPr>
  </w:style>
  <w:style w:type="character" w:customStyle="1" w:styleId="UnresolvedMention">
    <w:name w:val="Unresolved Mention"/>
    <w:basedOn w:val="a0"/>
    <w:uiPriority w:val="99"/>
    <w:semiHidden/>
    <w:unhideWhenUsed/>
    <w:rsid w:val="002838D9"/>
    <w:rPr>
      <w:color w:val="605E5C"/>
      <w:shd w:val="clear" w:color="auto" w:fill="E1DFDD"/>
    </w:rPr>
  </w:style>
  <w:style w:type="paragraph" w:styleId="aa">
    <w:name w:val="Balloon Text"/>
    <w:basedOn w:val="a"/>
    <w:link w:val="Char0"/>
    <w:rsid w:val="00726889"/>
    <w:rPr>
      <w:sz w:val="18"/>
      <w:szCs w:val="18"/>
    </w:rPr>
  </w:style>
  <w:style w:type="character" w:customStyle="1" w:styleId="Char0">
    <w:name w:val="批注框文本 Char"/>
    <w:basedOn w:val="a0"/>
    <w:link w:val="aa"/>
    <w:rsid w:val="0072688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849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2</Pages>
  <Words>144</Words>
  <Characters>827</Characters>
  <Application>Microsoft Office Word</Application>
  <DocSecurity>0</DocSecurity>
  <Lines>6</Lines>
  <Paragraphs>1</Paragraphs>
  <ScaleCrop>false</ScaleCrop>
  <Company/>
  <LinksUpToDate>false</LinksUpToDate>
  <CharactersWithSpaces>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王利平</dc:creator>
  <cp:lastModifiedBy>hjk</cp:lastModifiedBy>
  <cp:revision>75</cp:revision>
  <dcterms:created xsi:type="dcterms:W3CDTF">2020-06-14T06:13:00Z</dcterms:created>
  <dcterms:modified xsi:type="dcterms:W3CDTF">2020-12-21T03:52:00Z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